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97F53" w14:textId="77777777" w:rsidR="0088611C" w:rsidRDefault="00000000">
      <w:pPr>
        <w:widowControl/>
        <w:spacing w:line="360" w:lineRule="auto"/>
        <w:ind w:firstLineChars="300" w:firstLine="723"/>
        <w:jc w:val="center"/>
        <w:rPr>
          <w:rFonts w:asciiTheme="minorEastAsia" w:hAnsiTheme="minorEastAsia" w:cstheme="minorEastAsia"/>
          <w:b/>
          <w:bCs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>孟河中医医院老大楼3、4、5楼消防提升改造项目</w:t>
      </w:r>
    </w:p>
    <w:p w14:paraId="644ADE1F" w14:textId="71087691" w:rsidR="002A4BA9" w:rsidRDefault="00000000">
      <w:pPr>
        <w:widowControl/>
        <w:spacing w:line="360" w:lineRule="auto"/>
        <w:ind w:firstLineChars="300" w:firstLine="723"/>
        <w:jc w:val="center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>工程量清单及招标控制价编制说明</w:t>
      </w:r>
    </w:p>
    <w:p w14:paraId="60C5DC1C" w14:textId="77777777" w:rsidR="002A4BA9" w:rsidRDefault="00000000">
      <w:pPr>
        <w:widowControl/>
        <w:numPr>
          <w:ilvl w:val="0"/>
          <w:numId w:val="1"/>
        </w:numPr>
        <w:spacing w:line="360" w:lineRule="auto"/>
        <w:jc w:val="left"/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 xml:space="preserve">工程概况： </w:t>
      </w:r>
    </w:p>
    <w:p w14:paraId="687C4B89" w14:textId="77777777" w:rsidR="002A4BA9" w:rsidRDefault="00000000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项目名称：孟河中医医院老大楼3、4、5楼消防提升改造项目</w:t>
      </w:r>
    </w:p>
    <w:p w14:paraId="16FF8830" w14:textId="77777777" w:rsidR="002A4BA9" w:rsidRDefault="00000000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建设地点：常州市新北区。 </w:t>
      </w:r>
    </w:p>
    <w:p w14:paraId="54489C8A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3、工程特征：详见图纸。 </w:t>
      </w:r>
    </w:p>
    <w:p w14:paraId="11FD7888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 xml:space="preserve">二、编制范围： </w:t>
      </w:r>
    </w:p>
    <w:p w14:paraId="3B8E235F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1、招标人提供的图纸范围内的装饰改造与改造配套的消防水电安装等。</w:t>
      </w:r>
    </w:p>
    <w:p w14:paraId="302D9B8F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 xml:space="preserve">三、编制依据： </w:t>
      </w:r>
    </w:p>
    <w:p w14:paraId="1FCA6CDC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1、招标人提供的工程设计图纸、设计回复等资料。 </w:t>
      </w:r>
    </w:p>
    <w:p w14:paraId="24DBEFF9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2、《建设工程工程量清单计价规范》GB50500-2013、《房屋建筑与装饰工程工程量计算规范》GB50854-2013、《通用安装工程工程量计算规范》GB50856-2013、《江苏省建筑与装饰工程计价表》2014 版及勘误、《江苏省安装工程计价定额》2014 版、《江苏省市政工程计价定额》2014 版、《江苏省抗震加固工程计价表》2009版、《江苏省房屋修缮工程计价表》2009版、《江苏省建设工程费用定额》2014 版、《建筑安装工程工期定额》TY 01-89-2016 及招标文件； </w:t>
      </w:r>
    </w:p>
    <w:p w14:paraId="73F0B32D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3、人工费按苏建函价〔2025〕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t>273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号文《省住房和城乡建设厅关于发布建设工程人工工资指导价的通知》执行。  </w:t>
      </w:r>
    </w:p>
    <w:p w14:paraId="2BB3E330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4、相关费率：措施项目、规费、税金按常建〔2014〕279 号文、苏建价〔2014〕448 号文、苏建价〔2016〕154 号文、苏建价函〔2019〕178 号文、常建〔2019〕1 号文、〔2019〕第19 号文、常住建〔2020〕99 号文及其他有关工程造价方面的法律法规、办法、规定等。 </w:t>
      </w:r>
    </w:p>
    <w:p w14:paraId="4A31B8C0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5、材料价格参照常州市 2025 年10月份除税信息价，本月没有的按月依次前推，若信息价中无载明的，其价格参照市场询价计入。 </w:t>
      </w:r>
    </w:p>
    <w:p w14:paraId="3CCC2BFD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7、工程类别：</w:t>
      </w:r>
    </w:p>
    <w:p w14:paraId="1B7F5CB0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单独装饰工程、二类安装；</w:t>
      </w:r>
    </w:p>
    <w:p w14:paraId="2F5DCB23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8、工期：详见招标文件。</w:t>
      </w:r>
    </w:p>
    <w:p w14:paraId="3F618B3B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9、质量等级：详见招标文件。</w:t>
      </w:r>
    </w:p>
    <w:p w14:paraId="6D359E92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 xml:space="preserve">四、编制说明： </w:t>
      </w:r>
    </w:p>
    <w:p w14:paraId="6F8E7EBB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lastRenderedPageBreak/>
        <w:t xml:space="preserve">1、总价措施项目费率根据常建〔2014〕279 号文、常建〔2016〕94 号、常建〔2019〕1 号文规定计取。安全文明施工费（含基本费、扬尘污染防治增加费、标化工地增加费）、工程按质论价为不可竞争费，投标报价时按工程量清单中的费率计取不得调整，结算时按相关文件规定计取。 </w:t>
      </w:r>
    </w:p>
    <w:p w14:paraId="5673F714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2、标化工地增加费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lang w:bidi="ar"/>
        </w:rPr>
        <w:t>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计取。工程按质论价</w:t>
      </w:r>
      <w:r>
        <w:rPr>
          <w:rFonts w:asciiTheme="minorEastAsia" w:hAnsiTheme="minorEastAsia" w:cstheme="minorEastAsia" w:hint="eastAsia"/>
          <w:bCs/>
          <w:color w:val="000000"/>
          <w:kern w:val="0"/>
          <w:sz w:val="24"/>
          <w:lang w:bidi="ar"/>
        </w:rPr>
        <w:t>不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计取。 </w:t>
      </w:r>
    </w:p>
    <w:p w14:paraId="3126C065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3、规费、税金根据苏建价〔2016〕154 号文、苏建函价〔2019〕178 号文计取。 </w:t>
      </w:r>
    </w:p>
    <w:p w14:paraId="74668368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4、暂列金额为不可竞争费，投标报价时按工程量清单中的金额计取不得调整。 </w:t>
      </w:r>
    </w:p>
    <w:p w14:paraId="79A6558B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5、本工程执行一般计税。规费、税金项目清单中所列费率均为不可竞争费率。 </w:t>
      </w:r>
    </w:p>
    <w:p w14:paraId="31863E6B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6、社会保障费、住房公积金、税金费率详见工程量清单。 </w:t>
      </w:r>
    </w:p>
    <w:p w14:paraId="5E996C41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  <w:lang w:bidi="ar"/>
        </w:rPr>
        <w:t xml:space="preserve">五、其他说明：  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 </w:t>
      </w:r>
    </w:p>
    <w:p w14:paraId="6B5E808E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1、砂浆全部采用干拌商品砂浆。 </w:t>
      </w:r>
    </w:p>
    <w:p w14:paraId="2C72A960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2、砼全部考虑使用预拌商品砼</w:t>
      </w:r>
    </w:p>
    <w:p w14:paraId="076CF28E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3、石材、墙地砖、铝板、玻璃、木饰面、地板等材料的损耗（含设计排版、采购、施工等所有损耗），投标人应在综合单价中充分考虑，结算时投标单价不调整。 </w:t>
      </w:r>
    </w:p>
    <w:p w14:paraId="7B2FF3D5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4、石材、墙地砖、铝板、玻璃、木饰面、地板、涂料等饰面颜色由招标人确认，投标报价时应充分考虑颜色更换导致的价格风险。结算时不因颜色更改而调整价格。 </w:t>
      </w:r>
    </w:p>
    <w:p w14:paraId="6581CC08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5、装饰材料的加工费（如不锈钢折边、墙地砖、石材等切割、倒角、抽槽、清角、开孔、磨边、六面防护、镜面处理等）, 投标人应考虑在相应的综合单价内，结算时不另增加。 </w:t>
      </w:r>
    </w:p>
    <w:p w14:paraId="11D2093B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6、二级子目工程量，工程量清单项目特征描述中已提供的，投标人应按照提供工程量报价，结算时按规定进行调整；未提供工程量的由投标人自行计算报价，不因漏项而调整价格。 </w:t>
      </w:r>
    </w:p>
    <w:p w14:paraId="72452044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7、所有用材的环保等级E0级并提供绿建二星所需的相关证书、防火等级、有害物质限量指标等均应满足设计及现行规范要求。 </w:t>
      </w:r>
    </w:p>
    <w:p w14:paraId="6D34932D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8、所有木饰面、不锈钢饰面、玻璃、墙地砖等所有边角施工完成后，为满足观感质量而打的美缝胶以及细部收刹做法，投标人综合考虑费用，结算不另增加。  </w:t>
      </w:r>
    </w:p>
    <w:p w14:paraId="2194B4A1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lastRenderedPageBreak/>
        <w:t xml:space="preserve">9、墙地砖按备选品牌规定的品牌规格选用，地砖应具有一定的防滑耐腐蚀功能，墙、地砖的切割、水刀切割、磨边、倒角、开孔等加工费不单独计量，均应含在相应子目的投标综合单价内，结算时不单独计量。 </w:t>
      </w:r>
    </w:p>
    <w:p w14:paraId="67F1E8BC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10、地板、硅钙板吊顶、铝板吊顶、石膏板吊顶等收边条应考虑在相应的综合单价内，结算时不单独计量。 </w:t>
      </w:r>
    </w:p>
    <w:p w14:paraId="312299BC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11、本工程施工所需水、接电等由承包人自行负责，相关费用在投标报价中考虑。  </w:t>
      </w:r>
    </w:p>
    <w:p w14:paraId="5A17C8DC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12、木饰面及石膏板等饰面板材工艺缝处理费用、湿贴墙砖背胶处理费用、干挂石材墙砖挂点加厚处理费用投标人应包含在投标报价内，结算时该项价格不调整。</w:t>
      </w:r>
    </w:p>
    <w:p w14:paraId="4BFE5313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  <w:lang w:bidi="ar"/>
        </w:rPr>
        <w:t>13、</w:t>
      </w:r>
      <w:r>
        <w:rPr>
          <w:rFonts w:asciiTheme="minorEastAsia" w:hAnsiTheme="minorEastAsia" w:cstheme="minorEastAsia" w:hint="eastAsia"/>
          <w:sz w:val="24"/>
        </w:rPr>
        <w:t>吊筋高度由投人按图纸设计自行考虑，结算不调整。</w:t>
      </w:r>
    </w:p>
    <w:p w14:paraId="1CAA5634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14、地砖铺贴砂浆厚度清单按设计做法，实际砂浆厚度与清单不一致，结算不调整。</w:t>
      </w:r>
    </w:p>
    <w:p w14:paraId="4265704A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FF0000"/>
          <w:sz w:val="24"/>
        </w:rPr>
      </w:pPr>
      <w:r>
        <w:rPr>
          <w:rFonts w:asciiTheme="minorEastAsia" w:hAnsiTheme="minorEastAsia" w:cstheme="minorEastAsia" w:hint="eastAsia"/>
          <w:kern w:val="0"/>
          <w:sz w:val="24"/>
          <w:lang w:bidi="ar"/>
        </w:rPr>
        <w:t>15、用于工程的所有材</w:t>
      </w: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料、设备必须符合有关规范、设计图纸规定的质量要求。且所有材料及设备的品牌、规格型号、色号、产地、生产厂家、参数、性能、价格等均须提前一周书面征求监理单位、跟踪审计单位、招标人等同意后方能进行采购。所有材料及设备进场前也必须经监理单位、跟踪审计单位、招标人等事先认可后才能用于本工程。 </w:t>
      </w:r>
    </w:p>
    <w:p w14:paraId="19279114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16、投标人自行踏勘现场，投标报价综合考虑临时设施与施工操作场地、施工水电接入等费用，过程中不得以任何形式进行索赔，结算时不另行增加费用。  </w:t>
      </w:r>
    </w:p>
    <w:p w14:paraId="39C326D1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17、施工图、招标文件、技术要求、施工规范及工程量清单中的项目特征互为补充，均作为编制投标报价的依据，本项目清单描述做法与设计图纸不一致的，以清单描述为主，建筑图纸做法中未明确或不完善事项以答疑、设计回复等为准，施工前，对于不一致的情况，承包人需通知招标人，征得招标人同意后方可实施。</w:t>
      </w:r>
    </w:p>
    <w:p w14:paraId="46899B55" w14:textId="77777777" w:rsidR="002A4BA9" w:rsidRDefault="00000000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18、夜间施工、赶工措施、现场已完工程保护（含原现场保护）等措施均已考虑在编标范围内，投标单位综合考虑报价，现场施工过程中不得以任何形式进行费用增加，结算时不另行增加费用。</w:t>
      </w:r>
    </w:p>
    <w:p w14:paraId="4BEC3163" w14:textId="77777777" w:rsidR="002A4BA9" w:rsidRDefault="00000000">
      <w:pPr>
        <w:spacing w:line="360" w:lineRule="auto"/>
        <w:rPr>
          <w:rFonts w:ascii="宋体" w:eastAsia="宋体" w:hAnsi="宋体" w:cs="宋体" w:hint="eastAsia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>19、</w:t>
      </w:r>
      <w:r>
        <w:rPr>
          <w:rFonts w:ascii="宋体" w:eastAsia="宋体" w:hAnsi="宋体" w:cs="宋体" w:hint="eastAsia"/>
          <w:sz w:val="24"/>
          <w:lang w:bidi="ar"/>
        </w:rPr>
        <w:t>清单内按项计取部分均由施工单位自行勘探现场综合考虑，结算不再调整。</w:t>
      </w:r>
    </w:p>
    <w:p w14:paraId="41057EBD" w14:textId="77777777" w:rsidR="002A4BA9" w:rsidRDefault="00000000">
      <w:pPr>
        <w:widowControl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20、</w:t>
      </w:r>
      <w:r>
        <w:rPr>
          <w:rFonts w:ascii="宋体" w:eastAsia="宋体" w:hAnsi="宋体" w:cs="宋体" w:hint="eastAsia"/>
          <w:sz w:val="24"/>
        </w:rPr>
        <w:t>消防设备电源监控模块、电气火灾监控探测器模块已计入各电箱内。消防应急标志灯具、消防应急照明灯具、应急照明配电箱、主机等需满足设计要求及消</w:t>
      </w:r>
      <w:r>
        <w:rPr>
          <w:rFonts w:ascii="宋体" w:eastAsia="宋体" w:hAnsi="宋体" w:cs="宋体" w:hint="eastAsia"/>
          <w:sz w:val="24"/>
        </w:rPr>
        <w:lastRenderedPageBreak/>
        <w:t>防验收规范要求。</w:t>
      </w:r>
      <w:r>
        <w:rPr>
          <w:rFonts w:ascii="宋体" w:hAnsi="宋体" w:cs="宋体" w:hint="eastAsia"/>
          <w:sz w:val="24"/>
        </w:rPr>
        <w:t>所有消防部分端子接线、控制电缆头费用均考虑在该系统主机内，结算时不调整。</w:t>
      </w:r>
    </w:p>
    <w:p w14:paraId="491D6321" w14:textId="77777777" w:rsidR="002A4BA9" w:rsidRDefault="00000000">
      <w:pPr>
        <w:widowControl/>
        <w:spacing w:line="360" w:lineRule="auto"/>
        <w:rPr>
          <w:rFonts w:ascii="宋体" w:eastAsia="宋体" w:hAnsi="宋体" w:cs="宋体" w:hint="eastAsia"/>
          <w:kern w:val="0"/>
          <w:sz w:val="24"/>
          <w:lang w:bidi="ar"/>
        </w:rPr>
      </w:pPr>
      <w:r>
        <w:rPr>
          <w:rFonts w:ascii="宋体" w:hAnsi="宋体" w:cs="宋体" w:hint="eastAsia"/>
          <w:sz w:val="24"/>
        </w:rPr>
        <w:t>21、</w:t>
      </w:r>
      <w:r>
        <w:rPr>
          <w:rFonts w:ascii="宋体" w:eastAsia="宋体" w:hAnsi="宋体" w:cs="宋体" w:hint="eastAsia"/>
          <w:sz w:val="24"/>
        </w:rPr>
        <w:t>所有</w:t>
      </w:r>
      <w:r>
        <w:rPr>
          <w:rFonts w:ascii="宋体" w:hAnsi="宋体" w:cs="宋体" w:hint="eastAsia"/>
          <w:sz w:val="24"/>
        </w:rPr>
        <w:t>综合单价应综合考虑</w:t>
      </w:r>
      <w:r>
        <w:rPr>
          <w:rFonts w:ascii="宋体" w:eastAsia="宋体" w:hAnsi="宋体" w:cs="宋体" w:hint="eastAsia"/>
          <w:sz w:val="24"/>
        </w:rPr>
        <w:t>敷设方式</w:t>
      </w:r>
      <w:r>
        <w:rPr>
          <w:rFonts w:ascii="宋体" w:hAnsi="宋体" w:cs="宋体" w:hint="eastAsia"/>
          <w:sz w:val="24"/>
        </w:rPr>
        <w:t>包含</w:t>
      </w:r>
      <w:r>
        <w:rPr>
          <w:rFonts w:ascii="宋体" w:eastAsia="宋体" w:hAnsi="宋体" w:cs="宋体" w:hint="eastAsia"/>
          <w:sz w:val="24"/>
        </w:rPr>
        <w:t>水平、竖直</w:t>
      </w:r>
      <w:r>
        <w:rPr>
          <w:rFonts w:ascii="宋体" w:hAnsi="宋体" w:cs="宋体" w:hint="eastAsia"/>
          <w:sz w:val="24"/>
        </w:rPr>
        <w:t>、管井</w:t>
      </w:r>
      <w:r>
        <w:rPr>
          <w:rFonts w:ascii="宋体" w:eastAsia="宋体" w:hAnsi="宋体" w:cs="宋体" w:hint="eastAsia"/>
          <w:sz w:val="24"/>
        </w:rPr>
        <w:t>敷设</w:t>
      </w:r>
      <w:r>
        <w:rPr>
          <w:rFonts w:ascii="宋体" w:hAnsi="宋体" w:cs="宋体" w:hint="eastAsia"/>
          <w:sz w:val="24"/>
        </w:rPr>
        <w:t>等人工降效增加费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kern w:val="0"/>
          <w:sz w:val="24"/>
          <w:lang w:bidi="ar"/>
        </w:rPr>
        <w:t>结算</w:t>
      </w:r>
      <w:r>
        <w:rPr>
          <w:rFonts w:ascii="宋体" w:hAnsi="宋体" w:cs="宋体" w:hint="eastAsia"/>
          <w:kern w:val="0"/>
          <w:sz w:val="24"/>
          <w:lang w:bidi="ar"/>
        </w:rPr>
        <w:t>时</w:t>
      </w:r>
      <w:r>
        <w:rPr>
          <w:rFonts w:ascii="宋体" w:eastAsia="宋体" w:hAnsi="宋体" w:cs="宋体" w:hint="eastAsia"/>
          <w:kern w:val="0"/>
          <w:sz w:val="24"/>
          <w:lang w:bidi="ar"/>
        </w:rPr>
        <w:t>不调整。</w:t>
      </w:r>
    </w:p>
    <w:p w14:paraId="195F7B6A" w14:textId="77777777" w:rsidR="002A4BA9" w:rsidRDefault="00000000">
      <w:pPr>
        <w:widowControl/>
        <w:spacing w:line="360" w:lineRule="auto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22、</w:t>
      </w:r>
      <w:r>
        <w:rPr>
          <w:rFonts w:ascii="宋体" w:eastAsia="宋体" w:hAnsi="宋体" w:cs="宋体" w:hint="eastAsia"/>
          <w:sz w:val="24"/>
        </w:rPr>
        <w:t>部分灯具定额中已包含金属软管和灯头线，相应清单子目项目特征不另作描述，相关费用包含在综合单价中。因各厂家灯具规格参数功率等指标不一致，投标人所投产品各参数指标需不小于设计要求，且施工前需送样，经招标人等单位确认同意后，方能进场使用，结算不调整。</w:t>
      </w:r>
    </w:p>
    <w:p w14:paraId="17F85EA1" w14:textId="77777777" w:rsidR="002A4BA9" w:rsidRDefault="00000000">
      <w:pPr>
        <w:widowControl/>
        <w:spacing w:line="360" w:lineRule="auto"/>
        <w:rPr>
          <w:rFonts w:ascii="宋体" w:eastAsia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23、除清单列明的调试费用外，其它</w:t>
      </w:r>
      <w:r>
        <w:rPr>
          <w:rFonts w:ascii="宋体" w:eastAsia="宋体" w:hAnsi="宋体" w:cs="宋体" w:hint="eastAsia"/>
          <w:sz w:val="24"/>
        </w:rPr>
        <w:t>各系统调试、试运行、无负荷调试，带负荷调试内容及费用均含在投标总价内，由投标人自行考虑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结算不调整。</w:t>
      </w:r>
    </w:p>
    <w:p w14:paraId="74EE459E" w14:textId="77777777" w:rsidR="002A4BA9" w:rsidRDefault="00000000">
      <w:pPr>
        <w:widowControl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24、</w:t>
      </w:r>
      <w:r>
        <w:rPr>
          <w:rFonts w:ascii="宋体" w:hAnsi="宋体" w:cs="宋体" w:hint="eastAsia"/>
          <w:sz w:val="24"/>
        </w:rPr>
        <w:t>所有管道安装清单中已含完成该项目所需的所有管件、配件，投标单位应充分考虑后期施工时不利因素造成的管件、配件数量增加后综合考虑报价（包含各种翻弯、登高、装饰调整、变更、签证、人工降效等），结算时不调整。</w:t>
      </w:r>
    </w:p>
    <w:p w14:paraId="1217A8FD" w14:textId="77777777" w:rsidR="002A4BA9" w:rsidRDefault="00000000">
      <w:pPr>
        <w:widowControl/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25、原有吊顶灯具拆除按项综合考虑保护性拆除。重新安装部分的主材均按利旧考虑，若拆除导致灯具、管线破损需要补充材料的，由</w:t>
      </w:r>
      <w:r>
        <w:rPr>
          <w:rFonts w:ascii="宋体" w:eastAsia="宋体" w:hAnsi="宋体" w:cs="宋体" w:hint="eastAsia"/>
          <w:sz w:val="24"/>
        </w:rPr>
        <w:t>投标人自行考虑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结算不调整。</w:t>
      </w:r>
    </w:p>
    <w:p w14:paraId="5EA281C2" w14:textId="77777777" w:rsidR="002A4BA9" w:rsidRDefault="002A4BA9">
      <w:pPr>
        <w:widowControl/>
        <w:spacing w:line="360" w:lineRule="auto"/>
        <w:rPr>
          <w:rFonts w:ascii="宋体" w:hAnsi="宋体" w:cs="宋体" w:hint="eastAsia"/>
          <w:sz w:val="24"/>
        </w:rPr>
      </w:pPr>
    </w:p>
    <w:p w14:paraId="445E60A6" w14:textId="77777777" w:rsidR="002A4BA9" w:rsidRDefault="002A4BA9">
      <w:pPr>
        <w:spacing w:line="360" w:lineRule="auto"/>
        <w:rPr>
          <w:rFonts w:ascii="宋体" w:eastAsia="宋体" w:hAnsi="宋体" w:cs="宋体" w:hint="eastAsia"/>
          <w:sz w:val="24"/>
          <w:lang w:bidi="ar"/>
        </w:rPr>
      </w:pPr>
    </w:p>
    <w:p w14:paraId="78D36F96" w14:textId="77777777" w:rsidR="002A4BA9" w:rsidRDefault="002A4BA9">
      <w:pPr>
        <w:spacing w:line="360" w:lineRule="auto"/>
        <w:rPr>
          <w:rFonts w:ascii="宋体" w:eastAsia="宋体" w:hAnsi="宋体" w:cs="宋体" w:hint="eastAsia"/>
          <w:sz w:val="24"/>
          <w:lang w:bidi="ar"/>
        </w:rPr>
      </w:pPr>
    </w:p>
    <w:p w14:paraId="56F69AAA" w14:textId="77777777" w:rsidR="002A4BA9" w:rsidRDefault="002A4BA9">
      <w:pPr>
        <w:spacing w:line="360" w:lineRule="auto"/>
        <w:rPr>
          <w:rFonts w:ascii="宋体" w:eastAsia="宋体" w:hAnsi="宋体" w:cs="宋体" w:hint="eastAsia"/>
          <w:sz w:val="24"/>
          <w:lang w:bidi="ar"/>
        </w:rPr>
      </w:pPr>
    </w:p>
    <w:p w14:paraId="66628B92" w14:textId="77777777" w:rsidR="002A4BA9" w:rsidRDefault="002A4BA9">
      <w:pPr>
        <w:spacing w:line="360" w:lineRule="auto"/>
        <w:rPr>
          <w:rFonts w:ascii="宋体" w:eastAsia="宋体" w:hAnsi="宋体" w:cs="宋体" w:hint="eastAsia"/>
          <w:sz w:val="24"/>
          <w:lang w:bidi="ar"/>
        </w:rPr>
      </w:pPr>
    </w:p>
    <w:p w14:paraId="561A9C70" w14:textId="77777777" w:rsidR="002A4BA9" w:rsidRDefault="002A4BA9">
      <w:pPr>
        <w:widowControl/>
        <w:spacing w:line="360" w:lineRule="auto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</w:p>
    <w:p w14:paraId="6075C5DB" w14:textId="77777777" w:rsidR="002A4BA9" w:rsidRDefault="002A4BA9">
      <w:pPr>
        <w:widowControl/>
        <w:spacing w:line="360" w:lineRule="auto"/>
        <w:jc w:val="center"/>
        <w:rPr>
          <w:rFonts w:asciiTheme="minorEastAsia" w:hAnsiTheme="minorEastAsia" w:hint="eastAsia"/>
          <w:b/>
          <w:bCs/>
          <w:sz w:val="24"/>
          <w:shd w:val="clear" w:color="auto" w:fill="FFFFFF"/>
        </w:rPr>
      </w:pPr>
    </w:p>
    <w:p w14:paraId="1AFF5300" w14:textId="77777777" w:rsidR="002A4BA9" w:rsidRDefault="002A4BA9">
      <w:pPr>
        <w:widowControl/>
        <w:spacing w:line="360" w:lineRule="auto"/>
        <w:jc w:val="center"/>
        <w:rPr>
          <w:rFonts w:asciiTheme="minorEastAsia" w:hAnsiTheme="minorEastAsia" w:hint="eastAsia"/>
          <w:b/>
          <w:bCs/>
          <w:sz w:val="24"/>
          <w:shd w:val="clear" w:color="auto" w:fill="FFFFFF"/>
        </w:rPr>
      </w:pPr>
    </w:p>
    <w:p w14:paraId="3C872CB4" w14:textId="13114C45" w:rsidR="002A4BA9" w:rsidRDefault="00000000">
      <w:pPr>
        <w:widowControl/>
        <w:spacing w:line="360" w:lineRule="auto"/>
        <w:ind w:firstLineChars="2100" w:firstLine="5040"/>
        <w:jc w:val="left"/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lang w:bidi="ar"/>
        </w:rPr>
        <w:t xml:space="preserve">  </w:t>
      </w:r>
    </w:p>
    <w:p w14:paraId="0CF390E0" w14:textId="77777777" w:rsidR="002A4BA9" w:rsidRDefault="002A4BA9">
      <w:pPr>
        <w:spacing w:line="360" w:lineRule="auto"/>
        <w:rPr>
          <w:rFonts w:asciiTheme="minorEastAsia" w:hAnsiTheme="minorEastAsia" w:cstheme="minorEastAsia" w:hint="eastAsia"/>
          <w:sz w:val="24"/>
        </w:rPr>
      </w:pPr>
    </w:p>
    <w:sectPr w:rsidR="002A4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EEA81" w14:textId="77777777" w:rsidR="0067496D" w:rsidRDefault="0067496D" w:rsidP="0088611C">
      <w:r>
        <w:separator/>
      </w:r>
    </w:p>
  </w:endnote>
  <w:endnote w:type="continuationSeparator" w:id="0">
    <w:p w14:paraId="2A68751D" w14:textId="77777777" w:rsidR="0067496D" w:rsidRDefault="0067496D" w:rsidP="0088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2FF90" w14:textId="77777777" w:rsidR="0067496D" w:rsidRDefault="0067496D" w:rsidP="0088611C">
      <w:r>
        <w:separator/>
      </w:r>
    </w:p>
  </w:footnote>
  <w:footnote w:type="continuationSeparator" w:id="0">
    <w:p w14:paraId="402ABEEE" w14:textId="77777777" w:rsidR="0067496D" w:rsidRDefault="0067496D" w:rsidP="0088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C73B311"/>
    <w:multiLevelType w:val="singleLevel"/>
    <w:tmpl w:val="DC73B31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4CEE39C"/>
    <w:multiLevelType w:val="singleLevel"/>
    <w:tmpl w:val="04CEE39C"/>
    <w:lvl w:ilvl="0">
      <w:start w:val="1"/>
      <w:numFmt w:val="decimal"/>
      <w:suff w:val="nothing"/>
      <w:lvlText w:val="%1、"/>
      <w:lvlJc w:val="left"/>
    </w:lvl>
  </w:abstractNum>
  <w:num w:numId="1" w16cid:durableId="1509129871">
    <w:abstractNumId w:val="0"/>
  </w:num>
  <w:num w:numId="2" w16cid:durableId="201904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YyMjBjYTI5NzA4MjkxZjczOWNkZjU0OGM4NDAyNmUifQ=="/>
  </w:docVars>
  <w:rsids>
    <w:rsidRoot w:val="000827CC"/>
    <w:rsid w:val="000827CC"/>
    <w:rsid w:val="00276098"/>
    <w:rsid w:val="002A4BA9"/>
    <w:rsid w:val="004F5893"/>
    <w:rsid w:val="0067496D"/>
    <w:rsid w:val="00776020"/>
    <w:rsid w:val="0088611C"/>
    <w:rsid w:val="008B7AB2"/>
    <w:rsid w:val="009611F6"/>
    <w:rsid w:val="00AC7624"/>
    <w:rsid w:val="00C30D15"/>
    <w:rsid w:val="03397442"/>
    <w:rsid w:val="059613B6"/>
    <w:rsid w:val="0CC4146D"/>
    <w:rsid w:val="0F324E82"/>
    <w:rsid w:val="0FCF7375"/>
    <w:rsid w:val="112D79D0"/>
    <w:rsid w:val="14E65956"/>
    <w:rsid w:val="15EF0385"/>
    <w:rsid w:val="1BD7459B"/>
    <w:rsid w:val="1D0B05E4"/>
    <w:rsid w:val="1D4D1BC4"/>
    <w:rsid w:val="2035181D"/>
    <w:rsid w:val="211516D9"/>
    <w:rsid w:val="24D23B72"/>
    <w:rsid w:val="278C5DFF"/>
    <w:rsid w:val="287B7519"/>
    <w:rsid w:val="28EE1A1E"/>
    <w:rsid w:val="2AAF44F1"/>
    <w:rsid w:val="2B6E36F8"/>
    <w:rsid w:val="2FAA17B4"/>
    <w:rsid w:val="30AA702B"/>
    <w:rsid w:val="328E4D0F"/>
    <w:rsid w:val="32FE6502"/>
    <w:rsid w:val="34540680"/>
    <w:rsid w:val="34744242"/>
    <w:rsid w:val="39011ED8"/>
    <w:rsid w:val="3C534347"/>
    <w:rsid w:val="3CEC29BB"/>
    <w:rsid w:val="40CD7A03"/>
    <w:rsid w:val="40FD7B07"/>
    <w:rsid w:val="41143B09"/>
    <w:rsid w:val="42F70C56"/>
    <w:rsid w:val="4334251D"/>
    <w:rsid w:val="445B21D4"/>
    <w:rsid w:val="4583798C"/>
    <w:rsid w:val="4FFE03F6"/>
    <w:rsid w:val="532F4BFD"/>
    <w:rsid w:val="54164F0A"/>
    <w:rsid w:val="551358CB"/>
    <w:rsid w:val="58823CEE"/>
    <w:rsid w:val="58B00D8B"/>
    <w:rsid w:val="59E075E8"/>
    <w:rsid w:val="5A924928"/>
    <w:rsid w:val="5EC151D0"/>
    <w:rsid w:val="61491DF8"/>
    <w:rsid w:val="656E190F"/>
    <w:rsid w:val="658D7EA3"/>
    <w:rsid w:val="670C13E0"/>
    <w:rsid w:val="67191B08"/>
    <w:rsid w:val="67777278"/>
    <w:rsid w:val="6842164D"/>
    <w:rsid w:val="6BE51F3C"/>
    <w:rsid w:val="71B25DF3"/>
    <w:rsid w:val="73701E88"/>
    <w:rsid w:val="752C0F52"/>
    <w:rsid w:val="79181ECB"/>
    <w:rsid w:val="799940EB"/>
    <w:rsid w:val="7A783075"/>
    <w:rsid w:val="7ADE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31565"/>
  <w15:docId w15:val="{99546B83-B218-4EBD-8683-EACF422D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Strong"/>
    <w:uiPriority w:val="22"/>
    <w:qFormat/>
    <w:rPr>
      <w:b/>
    </w:rPr>
  </w:style>
  <w:style w:type="character" w:styleId="a6">
    <w:name w:val="page number"/>
    <w:basedOn w:val="a0"/>
    <w:qFormat/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1423</Words>
  <Characters>1496</Characters>
  <Application>Microsoft Office Word</Application>
  <DocSecurity>0</DocSecurity>
  <Lines>59</Lines>
  <Paragraphs>52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飞 刘</cp:lastModifiedBy>
  <cp:revision>8</cp:revision>
  <cp:lastPrinted>2025-11-18T01:39:00Z</cp:lastPrinted>
  <dcterms:created xsi:type="dcterms:W3CDTF">2021-04-25T05:14:00Z</dcterms:created>
  <dcterms:modified xsi:type="dcterms:W3CDTF">2025-11-18T01:39:00Z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EC4D197C22E9428D987D7FB5D4512D4F</vt:lpwstr>
  </property>
  <property fmtid="{D5CDD505-2E9C-101B-9397-08002B2CF9AE}" pid="4" name="KSOTemplateDocerSaveRecord">
    <vt:lpwstr>eyJoZGlkIjoiNThkMzMwMjFiMGM0ODNlOWMyY2FlY2JkZGY3NWY5OWQiLCJ1c2VySWQiOiI5OTMyOTkxNDIifQ==</vt:lpwstr>
  </property>
</Properties>
</file>